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 nuevo modelo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territorios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en América Latina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 acuerdo con proyecciones de la Organización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Naciones Unidas, para 2050, el 70% de la población mundial se asentará en núcleos urbanos.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Latinoamérica será la región en la que estos desplazamientos representen un mayor porcentaje, entre 80 y 90%.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Ciudad de México a 25 de marzo de 2019.-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Las ciudades tienen como reto presentar una solución a los conflictos de sostenibilidad, seguridad, salud, educación, medio ambiente y resiliencia, que afectan la calidad de vida de sus habitantes. No obstante, si el crecimiento urbano está planeado y gestionado correctamente, puede ser un instrumento poderoso para lograr el crecimiento sostenible.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esta manera, si vemos a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inminente urbanización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inteligente como un motor de crecimiento económico sostenible, desarrollo social, cultural y del cuidado al medio ambiente, podremos encontrar oportunidades de negocio, logrando una prestación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eficaz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servicios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desemboque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mejora de la productividad,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eficiencia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energética en movilidad y suministro, entre otras.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Todo lo anterior, estando conscientes de que el cambio de nuestros territorios debe apostar por proyectos enfocados a regenerar y reorganizar la ciudad actual.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respuesta al debate que propician los territorios en vías de convertirse en Ciudades Inteligentes, surge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highlight w:val="white"/>
          <w:rtl w:val="0"/>
        </w:rPr>
        <w:t xml:space="preserve">Smart City Expo LATAM Congress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como el foro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más importante de la región que reúne a instituciones, empresas, gobiernos, ciudadanos y tomadores de decisiones para compartir conocimientos y crear vínculos que den como resultado  proyectos encaminados a mejorar la calidad de vida de las personas.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de las más importantes iniciativas a tomar en cuenta es la adopción del modelo Smart City, q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ue se puede entender como “la ciudad que apuesta por un nuevo modelo de gestión urbana, teniendo como eje transversal la innovación y la tecnología e impulsada por un sociedad inteligente y colaborativa” comenta Pilar Conesa,Curadora del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highlight w:val="white"/>
          <w:rtl w:val="0"/>
        </w:rPr>
        <w:t xml:space="preserve">Smart City Expo Latam Congress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y miembro, al igual que Manuel Redondo, del comité organizador de dicho evento.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Este evento organizado por Fira Barcelona México, y que es la versión latinoamericana del congreso de ciudades inteligentes más grande del mundo, se realizará por tercera ocasión en el Centro Expositor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Ciudad de Puebla, México, del 2 al 4 de julio de este año.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Cabe resaltar que en esta edición se esperan más de: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13,000 visitantes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150 empresas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280 conferencistas de todo el mundo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60 instituciones colaboradoras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Así como la representación de más de 350 ciudades nacionales e internacionales, y la participación de más de 50 media partners nacionales y latinoamericanos.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